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AA1" w:rsidRDefault="00950AA1" w:rsidP="00950AA1">
      <w:pPr>
        <w:pStyle w:val="Encabezado"/>
        <w:jc w:val="center"/>
        <w:rPr>
          <w:rFonts w:ascii="Soberana Sans" w:hAnsi="Soberana Sans"/>
          <w:b/>
          <w:lang w:val="es-MX"/>
        </w:rPr>
      </w:pPr>
    </w:p>
    <w:p w:rsidR="00950AA1" w:rsidRPr="00544CEB" w:rsidRDefault="00950AA1" w:rsidP="00950AA1">
      <w:pPr>
        <w:pStyle w:val="Encabezado"/>
        <w:jc w:val="center"/>
        <w:rPr>
          <w:rFonts w:ascii="Soberana Sans" w:hAnsi="Soberana Sans"/>
          <w:b/>
          <w:lang w:val="es-MX"/>
        </w:rPr>
      </w:pPr>
      <w:r w:rsidRPr="00544CEB">
        <w:rPr>
          <w:rFonts w:ascii="Soberana Sans" w:hAnsi="Soberana Sans"/>
          <w:b/>
          <w:lang w:val="es-MX"/>
        </w:rPr>
        <w:t>Información general sobre la plataforma</w:t>
      </w:r>
      <w:r>
        <w:rPr>
          <w:rFonts w:ascii="Soberana Sans" w:hAnsi="Soberana Sans"/>
          <w:b/>
          <w:lang w:val="es-MX"/>
        </w:rPr>
        <w:t xml:space="preserve"> de Entidades Federativas del Portal de </w:t>
      </w:r>
      <w:bookmarkStart w:id="0" w:name="_GoBack"/>
      <w:bookmarkEnd w:id="0"/>
      <w:r>
        <w:rPr>
          <w:rFonts w:ascii="Soberana Sans" w:hAnsi="Soberana Sans"/>
          <w:b/>
          <w:lang w:val="es-MX"/>
        </w:rPr>
        <w:t xml:space="preserve">Transparencia Presupuestaria </w:t>
      </w:r>
    </w:p>
    <w:p w:rsidR="00950AA1" w:rsidRPr="00544CEB" w:rsidRDefault="00950AA1" w:rsidP="00950AA1">
      <w:pPr>
        <w:pStyle w:val="Encabezado"/>
        <w:jc w:val="center"/>
        <w:rPr>
          <w:rFonts w:ascii="Soberana Sans" w:hAnsi="Soberana Sans"/>
          <w:b/>
          <w:lang w:val="es-MX"/>
        </w:rPr>
      </w:pPr>
    </w:p>
    <w:p w:rsidR="00950AA1" w:rsidRDefault="00950AA1" w:rsidP="00950AA1">
      <w:pPr>
        <w:jc w:val="both"/>
        <w:rPr>
          <w:rFonts w:ascii="Soberana Sans" w:hAnsi="Soberana Sans"/>
          <w:sz w:val="22"/>
          <w:szCs w:val="22"/>
        </w:rPr>
      </w:pPr>
      <w:r w:rsidRPr="004A1AB5">
        <w:rPr>
          <w:rFonts w:ascii="Soberana Sans" w:hAnsi="Soberana Sans"/>
          <w:sz w:val="22"/>
          <w:szCs w:val="22"/>
        </w:rPr>
        <w:t>Con el fin de fortalecer la participación ciudadana en el seguimiento a los recursos públicos, el pasado 6 de marzo se renovó la sección de “Entidades Federativas” del PTP, la cual incorpora nuevas plataformas e información que permite conocer de forma detallada el ejercicio, destino y resultados de los recursos federales transferidos a las entidades federativas, municipios y demarcaciones territoriales del Distrito Federal.</w:t>
      </w:r>
      <w:r>
        <w:rPr>
          <w:rFonts w:ascii="Soberana Sans" w:hAnsi="Soberana Sans"/>
          <w:sz w:val="22"/>
          <w:szCs w:val="22"/>
        </w:rPr>
        <w:t xml:space="preserve"> Se encuentra disponible en la siguiente liga: </w:t>
      </w:r>
    </w:p>
    <w:p w:rsidR="00950AA1" w:rsidRDefault="00950AA1" w:rsidP="00950AA1">
      <w:pPr>
        <w:jc w:val="both"/>
        <w:rPr>
          <w:rFonts w:ascii="Soberana Sans" w:hAnsi="Soberana Sans"/>
          <w:sz w:val="22"/>
          <w:szCs w:val="22"/>
        </w:rPr>
      </w:pPr>
    </w:p>
    <w:p w:rsidR="00950AA1" w:rsidRPr="00950AA1" w:rsidRDefault="00950AA1" w:rsidP="00950AA1">
      <w:pPr>
        <w:jc w:val="center"/>
        <w:rPr>
          <w:rFonts w:ascii="Soberana Sans" w:hAnsi="Soberana Sans"/>
          <w:color w:val="4F81BD" w:themeColor="accent1"/>
          <w:sz w:val="22"/>
          <w:szCs w:val="22"/>
        </w:rPr>
      </w:pPr>
      <w:hyperlink r:id="rId9" w:history="1">
        <w:r w:rsidRPr="00950AA1">
          <w:rPr>
            <w:rFonts w:ascii="Soberana Sans" w:hAnsi="Soberana Sans"/>
            <w:color w:val="4F81BD" w:themeColor="accent1"/>
            <w:sz w:val="22"/>
            <w:szCs w:val="22"/>
          </w:rPr>
          <w:t>http://www.transparenciapresupuestaria.gob.mx/es/PTP/EntidadesFederativas</w:t>
        </w:r>
      </w:hyperlink>
    </w:p>
    <w:p w:rsidR="00950AA1" w:rsidRPr="00950AA1" w:rsidRDefault="00950AA1" w:rsidP="00950AA1">
      <w:pPr>
        <w:jc w:val="center"/>
        <w:rPr>
          <w:rFonts w:ascii="Soberana Sans" w:hAnsi="Soberana Sans"/>
          <w:color w:val="4F81BD" w:themeColor="accent1"/>
          <w:sz w:val="22"/>
          <w:szCs w:val="22"/>
        </w:rPr>
      </w:pPr>
    </w:p>
    <w:p w:rsidR="00950AA1" w:rsidRPr="00A06E5C" w:rsidRDefault="00950AA1" w:rsidP="00950AA1">
      <w:pPr>
        <w:jc w:val="both"/>
        <w:rPr>
          <w:rFonts w:ascii="Soberana Sans" w:hAnsi="Soberana Sans"/>
          <w:b/>
          <w:sz w:val="22"/>
          <w:szCs w:val="22"/>
        </w:rPr>
      </w:pPr>
      <w:r w:rsidRPr="00A06E5C">
        <w:rPr>
          <w:rFonts w:ascii="Soberana Sans" w:hAnsi="Soberana Sans"/>
          <w:b/>
          <w:sz w:val="22"/>
          <w:szCs w:val="22"/>
        </w:rPr>
        <w:t>Contenido:</w:t>
      </w:r>
    </w:p>
    <w:p w:rsidR="00950AA1" w:rsidRPr="00A06E5C" w:rsidRDefault="00950AA1" w:rsidP="00950AA1">
      <w:pPr>
        <w:jc w:val="both"/>
        <w:rPr>
          <w:rFonts w:ascii="Soberana Sans" w:hAnsi="Soberana Sans"/>
          <w:sz w:val="22"/>
          <w:szCs w:val="22"/>
        </w:rPr>
      </w:pPr>
    </w:p>
    <w:p w:rsidR="00950AA1" w:rsidRPr="00A06E5C" w:rsidRDefault="00950AA1" w:rsidP="00950AA1">
      <w:pPr>
        <w:pStyle w:val="Prrafodelista"/>
        <w:numPr>
          <w:ilvl w:val="0"/>
          <w:numId w:val="3"/>
        </w:numPr>
        <w:ind w:left="426" w:hanging="426"/>
        <w:jc w:val="both"/>
        <w:rPr>
          <w:rFonts w:eastAsia="Times New Roman" w:cs="Arial"/>
          <w:sz w:val="22"/>
          <w:szCs w:val="22"/>
          <w:lang w:val="es-ES"/>
        </w:rPr>
      </w:pPr>
      <w:r w:rsidRPr="00A06E5C">
        <w:rPr>
          <w:rFonts w:ascii="Soberana Sans" w:eastAsia="Times New Roman" w:hAnsi="Soberana Sans" w:cs="Arial"/>
          <w:sz w:val="22"/>
          <w:szCs w:val="22"/>
          <w:lang w:val="es-ES"/>
        </w:rPr>
        <w:t xml:space="preserve">Sección interactiva de </w:t>
      </w:r>
      <w:r w:rsidRPr="00A06E5C">
        <w:rPr>
          <w:rFonts w:ascii="Soberana Sans" w:eastAsia="Times New Roman" w:hAnsi="Soberana Sans" w:cs="Arial"/>
          <w:b/>
          <w:sz w:val="22"/>
          <w:szCs w:val="22"/>
          <w:lang w:val="es-ES"/>
        </w:rPr>
        <w:t xml:space="preserve">“Transferencias Federales de Recursos” </w:t>
      </w:r>
      <w:r w:rsidRPr="00A06E5C">
        <w:rPr>
          <w:rFonts w:ascii="Soberana Sans" w:eastAsia="Times New Roman" w:hAnsi="Soberana Sans" w:cs="Arial"/>
          <w:sz w:val="22"/>
          <w:szCs w:val="22"/>
          <w:lang w:val="es-ES"/>
        </w:rPr>
        <w:t>que permite a los usuarios conocer información general sobre los tipos de recursos y montos que se transfieren (participaciones, aportaciones, subsidios y convenios).</w:t>
      </w:r>
    </w:p>
    <w:p w:rsidR="00950AA1" w:rsidRPr="00A06E5C" w:rsidRDefault="00950AA1" w:rsidP="00950AA1">
      <w:pPr>
        <w:ind w:left="426" w:hanging="426"/>
        <w:jc w:val="both"/>
        <w:rPr>
          <w:rFonts w:eastAsia="Times New Roman" w:cs="Arial"/>
          <w:sz w:val="22"/>
          <w:szCs w:val="22"/>
          <w:lang w:val="es-ES"/>
        </w:rPr>
      </w:pPr>
    </w:p>
    <w:p w:rsidR="00950AA1" w:rsidRPr="00A06E5C" w:rsidRDefault="00950AA1" w:rsidP="00950AA1">
      <w:pPr>
        <w:pStyle w:val="Prrafodelista"/>
        <w:numPr>
          <w:ilvl w:val="0"/>
          <w:numId w:val="4"/>
        </w:numPr>
        <w:ind w:left="426" w:hanging="426"/>
        <w:jc w:val="both"/>
        <w:rPr>
          <w:rFonts w:ascii="Soberana Sans" w:eastAsia="Times New Roman" w:hAnsi="Soberana Sans" w:cs="Arial"/>
          <w:sz w:val="22"/>
          <w:szCs w:val="22"/>
          <w:lang w:val="es-ES"/>
        </w:rPr>
      </w:pPr>
      <w:r w:rsidRPr="00A06E5C">
        <w:rPr>
          <w:rFonts w:ascii="Soberana Sans" w:eastAsia="Times New Roman" w:hAnsi="Soberana Sans" w:cs="Arial"/>
          <w:b/>
          <w:sz w:val="22"/>
          <w:szCs w:val="22"/>
          <w:lang w:val="es-ES"/>
        </w:rPr>
        <w:t xml:space="preserve">(Nueva) Plataforma de Gasto Federalizado. </w:t>
      </w:r>
      <w:r w:rsidRPr="00D52598">
        <w:rPr>
          <w:rFonts w:ascii="Soberana Sans" w:eastAsia="Times New Roman" w:hAnsi="Soberana Sans" w:cs="Arial"/>
          <w:sz w:val="22"/>
          <w:szCs w:val="22"/>
          <w:lang w:val="es-ES"/>
        </w:rPr>
        <w:t xml:space="preserve">Permite </w:t>
      </w:r>
      <w:r w:rsidRPr="00A06E5C">
        <w:rPr>
          <w:rFonts w:ascii="Soberana Sans" w:eastAsia="Times New Roman" w:hAnsi="Soberana Sans" w:cs="Arial"/>
          <w:sz w:val="22"/>
          <w:szCs w:val="22"/>
          <w:lang w:val="es-ES"/>
        </w:rPr>
        <w:t>dar seguimiento al reporte que realizan las entidades federativas y municipios a la SHCP</w:t>
      </w:r>
      <w:r w:rsidRPr="00A06E5C">
        <w:rPr>
          <w:sz w:val="22"/>
          <w:szCs w:val="22"/>
        </w:rPr>
        <w:footnoteReference w:id="1"/>
      </w:r>
      <w:r w:rsidRPr="00A06E5C">
        <w:rPr>
          <w:rFonts w:ascii="Soberana Sans" w:eastAsia="Times New Roman" w:hAnsi="Soberana Sans" w:cs="Arial"/>
          <w:sz w:val="22"/>
          <w:szCs w:val="22"/>
          <w:lang w:val="es-ES"/>
        </w:rPr>
        <w:t>, sobre más de 200,000 proyectos financiados con recursos federales transferidos que las entidades federativas y municipios. Dicha Plataforma forma parte de los compromisos que la SHCP suscribió en el marco de la Alianza para el Gobierno Abierto (AGA)</w:t>
      </w:r>
      <w:r w:rsidRPr="00A06E5C">
        <w:rPr>
          <w:sz w:val="22"/>
          <w:szCs w:val="22"/>
          <w:vertAlign w:val="superscript"/>
        </w:rPr>
        <w:footnoteReference w:id="2"/>
      </w:r>
      <w:r w:rsidRPr="00A06E5C">
        <w:rPr>
          <w:rFonts w:ascii="Soberana Sans" w:eastAsia="Times New Roman" w:hAnsi="Soberana Sans" w:cs="Arial"/>
          <w:sz w:val="22"/>
          <w:szCs w:val="22"/>
          <w:lang w:val="es-ES"/>
        </w:rPr>
        <w:t xml:space="preserve">. </w:t>
      </w:r>
    </w:p>
    <w:p w:rsidR="00950AA1" w:rsidRPr="00A06E5C" w:rsidRDefault="00950AA1" w:rsidP="00950AA1">
      <w:pPr>
        <w:jc w:val="both"/>
        <w:rPr>
          <w:rFonts w:eastAsia="Times New Roman" w:cs="Arial"/>
          <w:sz w:val="22"/>
          <w:szCs w:val="22"/>
          <w:lang w:val="es-ES"/>
        </w:rPr>
      </w:pPr>
    </w:p>
    <w:p w:rsidR="00950AA1" w:rsidRPr="00A06E5C" w:rsidRDefault="00950AA1" w:rsidP="00950AA1">
      <w:pPr>
        <w:ind w:left="426"/>
        <w:jc w:val="both"/>
        <w:rPr>
          <w:rFonts w:eastAsia="Times New Roman" w:cs="Arial"/>
          <w:b/>
          <w:sz w:val="22"/>
          <w:szCs w:val="22"/>
          <w:lang w:val="es-ES"/>
        </w:rPr>
      </w:pPr>
      <w:r w:rsidRPr="00A06E5C">
        <w:rPr>
          <w:rFonts w:ascii="Soberana Sans" w:eastAsia="Times New Roman" w:hAnsi="Soberana Sans" w:cs="Arial"/>
          <w:b/>
          <w:sz w:val="22"/>
          <w:szCs w:val="22"/>
          <w:lang w:val="es-ES"/>
        </w:rPr>
        <w:t>Características de la Plataforma:</w:t>
      </w:r>
    </w:p>
    <w:p w:rsidR="00950AA1" w:rsidRPr="00A06E5C" w:rsidRDefault="00950AA1" w:rsidP="00950AA1">
      <w:pPr>
        <w:pStyle w:val="Textonotapie"/>
        <w:ind w:left="720"/>
        <w:jc w:val="both"/>
        <w:rPr>
          <w:rFonts w:eastAsia="Times New Roman" w:cs="Arial"/>
          <w:sz w:val="22"/>
          <w:szCs w:val="22"/>
          <w:lang w:val="es-ES" w:eastAsia="es-ES"/>
        </w:rPr>
      </w:pPr>
    </w:p>
    <w:p w:rsidR="00950AA1" w:rsidRPr="00A06E5C" w:rsidRDefault="00950AA1" w:rsidP="00950AA1">
      <w:pPr>
        <w:pStyle w:val="Textonotapie"/>
        <w:numPr>
          <w:ilvl w:val="0"/>
          <w:numId w:val="1"/>
        </w:numPr>
        <w:ind w:left="1134" w:hanging="425"/>
        <w:jc w:val="both"/>
        <w:rPr>
          <w:rFonts w:eastAsia="Times New Roman" w:cs="Arial"/>
          <w:sz w:val="22"/>
          <w:szCs w:val="22"/>
          <w:lang w:val="es-ES" w:eastAsia="es-ES"/>
        </w:rPr>
      </w:pPr>
      <w:proofErr w:type="spellStart"/>
      <w:r w:rsidRPr="00A06E5C">
        <w:rPr>
          <w:rFonts w:ascii="Soberana Sans" w:eastAsia="Times New Roman" w:hAnsi="Soberana Sans" w:cs="Arial"/>
          <w:sz w:val="22"/>
          <w:szCs w:val="22"/>
          <w:lang w:val="es-ES" w:eastAsia="es-ES"/>
        </w:rPr>
        <w:t>Georreferenciación</w:t>
      </w:r>
      <w:proofErr w:type="spellEnd"/>
      <w:r w:rsidRPr="00A06E5C">
        <w:rPr>
          <w:rFonts w:ascii="Soberana Sans" w:eastAsia="Times New Roman" w:hAnsi="Soberana Sans" w:cs="Arial"/>
          <w:sz w:val="22"/>
          <w:szCs w:val="22"/>
          <w:lang w:val="es-ES" w:eastAsia="es-ES"/>
        </w:rPr>
        <w:t xml:space="preserve"> a nivel localidad de los proyectos que se registren en alguna localidad o municipio.</w:t>
      </w:r>
    </w:p>
    <w:p w:rsidR="00950AA1" w:rsidRPr="00A06E5C" w:rsidRDefault="00950AA1" w:rsidP="00950AA1">
      <w:pPr>
        <w:pStyle w:val="Textonotapie"/>
        <w:numPr>
          <w:ilvl w:val="0"/>
          <w:numId w:val="1"/>
        </w:numPr>
        <w:ind w:left="1134" w:hanging="425"/>
        <w:jc w:val="both"/>
        <w:rPr>
          <w:rFonts w:eastAsia="Times New Roman" w:cs="Arial"/>
          <w:sz w:val="22"/>
          <w:szCs w:val="22"/>
          <w:lang w:val="es-ES" w:eastAsia="es-ES"/>
        </w:rPr>
      </w:pPr>
      <w:r w:rsidRPr="00A06E5C">
        <w:rPr>
          <w:rFonts w:ascii="Soberana Sans" w:eastAsia="Times New Roman" w:hAnsi="Soberana Sans" w:cs="Arial"/>
          <w:sz w:val="22"/>
          <w:szCs w:val="22"/>
          <w:lang w:val="es-ES" w:eastAsia="es-ES"/>
        </w:rPr>
        <w:t>Buscador de proyectos por dirección o código postal.</w:t>
      </w:r>
    </w:p>
    <w:p w:rsidR="00950AA1" w:rsidRPr="00A06E5C" w:rsidRDefault="00950AA1" w:rsidP="00950AA1">
      <w:pPr>
        <w:pStyle w:val="Textonotapie"/>
        <w:numPr>
          <w:ilvl w:val="0"/>
          <w:numId w:val="1"/>
        </w:numPr>
        <w:ind w:left="1134" w:hanging="425"/>
        <w:jc w:val="both"/>
        <w:rPr>
          <w:rFonts w:eastAsia="Times New Roman" w:cs="Arial"/>
          <w:sz w:val="22"/>
          <w:szCs w:val="22"/>
          <w:lang w:val="es-ES" w:eastAsia="es-ES"/>
        </w:rPr>
      </w:pPr>
      <w:r w:rsidRPr="00A06E5C">
        <w:rPr>
          <w:rFonts w:ascii="Soberana Sans" w:eastAsia="Times New Roman" w:hAnsi="Soberana Sans" w:cs="Arial"/>
          <w:sz w:val="22"/>
          <w:szCs w:val="22"/>
          <w:lang w:val="es-ES" w:eastAsia="es-ES"/>
        </w:rPr>
        <w:t>Filtros para visualización de los proyectos por localización, ramo, avance físico, avance financiero o tipo de proyecto.</w:t>
      </w:r>
    </w:p>
    <w:p w:rsidR="00950AA1" w:rsidRPr="00A06E5C" w:rsidRDefault="00950AA1" w:rsidP="00950AA1">
      <w:pPr>
        <w:pStyle w:val="Textonotapie"/>
        <w:numPr>
          <w:ilvl w:val="0"/>
          <w:numId w:val="1"/>
        </w:numPr>
        <w:ind w:left="1134" w:hanging="425"/>
        <w:jc w:val="both"/>
        <w:rPr>
          <w:rFonts w:eastAsia="Times New Roman" w:cs="Arial"/>
          <w:sz w:val="22"/>
          <w:szCs w:val="22"/>
          <w:lang w:val="es-ES" w:eastAsia="es-ES"/>
        </w:rPr>
      </w:pPr>
      <w:r w:rsidRPr="00A06E5C">
        <w:rPr>
          <w:rFonts w:ascii="Soberana Sans" w:eastAsia="Times New Roman" w:hAnsi="Soberana Sans" w:cs="Arial"/>
          <w:sz w:val="22"/>
          <w:szCs w:val="22"/>
          <w:lang w:val="es-ES" w:eastAsia="es-ES"/>
        </w:rPr>
        <w:t xml:space="preserve">Fichas por proyecto con información sobre el nombre del proyecto, su clasificación, avance físico y financiero, y fechas de inicio y término reportadas. </w:t>
      </w:r>
    </w:p>
    <w:p w:rsidR="00950AA1" w:rsidRPr="00A06E5C" w:rsidRDefault="00950AA1" w:rsidP="00950AA1">
      <w:pPr>
        <w:pStyle w:val="Textonotapie"/>
        <w:numPr>
          <w:ilvl w:val="0"/>
          <w:numId w:val="1"/>
        </w:numPr>
        <w:ind w:left="1134" w:hanging="425"/>
        <w:jc w:val="both"/>
        <w:rPr>
          <w:rFonts w:eastAsia="Times New Roman" w:cs="Arial"/>
          <w:sz w:val="22"/>
          <w:szCs w:val="22"/>
          <w:lang w:val="es-ES" w:eastAsia="es-ES"/>
        </w:rPr>
      </w:pPr>
      <w:r w:rsidRPr="00A06E5C">
        <w:rPr>
          <w:rFonts w:ascii="Soberana Sans" w:eastAsia="Times New Roman" w:hAnsi="Soberana Sans" w:cs="Arial"/>
          <w:sz w:val="22"/>
          <w:szCs w:val="22"/>
          <w:lang w:val="es-ES" w:eastAsia="es-ES"/>
        </w:rPr>
        <w:t>Contador de proyectos que existen en alguna localidad específica.</w:t>
      </w:r>
    </w:p>
    <w:p w:rsidR="00950AA1" w:rsidRPr="00A06E5C" w:rsidRDefault="00950AA1" w:rsidP="00950AA1">
      <w:pPr>
        <w:pStyle w:val="Textonotapie"/>
        <w:numPr>
          <w:ilvl w:val="0"/>
          <w:numId w:val="1"/>
        </w:numPr>
        <w:ind w:left="1134" w:hanging="425"/>
        <w:jc w:val="both"/>
        <w:rPr>
          <w:rFonts w:eastAsia="Times New Roman" w:cs="Arial"/>
          <w:sz w:val="22"/>
          <w:szCs w:val="22"/>
          <w:lang w:val="es-ES" w:eastAsia="es-ES"/>
        </w:rPr>
      </w:pPr>
      <w:r w:rsidRPr="00A06E5C">
        <w:rPr>
          <w:rFonts w:ascii="Soberana Sans" w:eastAsia="Times New Roman" w:hAnsi="Soberana Sans" w:cs="Arial"/>
          <w:sz w:val="22"/>
          <w:szCs w:val="22"/>
          <w:lang w:val="es-ES" w:eastAsia="es-ES"/>
        </w:rPr>
        <w:lastRenderedPageBreak/>
        <w:t>Descarga de la base de datos abiertos.</w:t>
      </w:r>
    </w:p>
    <w:p w:rsidR="00950AA1" w:rsidRPr="00A06E5C" w:rsidRDefault="00950AA1" w:rsidP="00950AA1">
      <w:pPr>
        <w:pStyle w:val="Prrafodelista"/>
        <w:ind w:left="426"/>
        <w:jc w:val="both"/>
        <w:rPr>
          <w:sz w:val="22"/>
          <w:szCs w:val="22"/>
          <w:lang w:val="es-ES"/>
        </w:rPr>
      </w:pPr>
    </w:p>
    <w:p w:rsidR="00950AA1" w:rsidRPr="00A06E5C" w:rsidRDefault="00950AA1" w:rsidP="00950AA1">
      <w:pPr>
        <w:pStyle w:val="Prrafodelista"/>
        <w:numPr>
          <w:ilvl w:val="0"/>
          <w:numId w:val="2"/>
        </w:numPr>
        <w:ind w:left="426" w:hanging="426"/>
        <w:jc w:val="both"/>
        <w:rPr>
          <w:sz w:val="22"/>
          <w:szCs w:val="22"/>
          <w:lang w:val="es-ES"/>
        </w:rPr>
      </w:pPr>
      <w:r w:rsidRPr="00A06E5C">
        <w:rPr>
          <w:rFonts w:ascii="Soberana Sans" w:hAnsi="Soberana Sans"/>
          <w:sz w:val="22"/>
          <w:szCs w:val="22"/>
          <w:lang w:val="es-ES"/>
        </w:rPr>
        <w:t xml:space="preserve">Sección </w:t>
      </w:r>
      <w:r w:rsidRPr="00A06E5C">
        <w:rPr>
          <w:rFonts w:ascii="Soberana Sans" w:hAnsi="Soberana Sans"/>
          <w:b/>
          <w:sz w:val="22"/>
          <w:szCs w:val="22"/>
          <w:lang w:val="es-ES"/>
        </w:rPr>
        <w:t>“¿Cómo reportan los estados?”</w:t>
      </w:r>
      <w:r w:rsidRPr="00A06E5C">
        <w:rPr>
          <w:rFonts w:ascii="Soberana Sans" w:hAnsi="Soberana Sans"/>
          <w:sz w:val="22"/>
          <w:szCs w:val="22"/>
          <w:lang w:val="es-ES"/>
        </w:rPr>
        <w:t xml:space="preserve"> que presenta la información del “Índice de calidad en la información reportada sobre recursos federales transferidos” (elaborado por la SHCP) el cual permite identificar y comparar la calidad con la que reportan los gobiernos locales la información relacionada con el ejercicio, destino y resultados de los recursos que se les transfieren.</w:t>
      </w:r>
    </w:p>
    <w:p w:rsidR="00950AA1" w:rsidRPr="00A06E5C" w:rsidRDefault="00950AA1" w:rsidP="00950AA1">
      <w:pPr>
        <w:ind w:left="426" w:hanging="426"/>
        <w:jc w:val="both"/>
        <w:rPr>
          <w:sz w:val="22"/>
          <w:szCs w:val="22"/>
          <w:lang w:val="es-ES"/>
        </w:rPr>
      </w:pPr>
    </w:p>
    <w:p w:rsidR="00950AA1" w:rsidRPr="00A06E5C" w:rsidRDefault="00950AA1" w:rsidP="00950AA1">
      <w:pPr>
        <w:pStyle w:val="Prrafodelista"/>
        <w:numPr>
          <w:ilvl w:val="0"/>
          <w:numId w:val="2"/>
        </w:numPr>
        <w:ind w:left="426" w:hanging="426"/>
        <w:jc w:val="both"/>
        <w:rPr>
          <w:sz w:val="22"/>
          <w:szCs w:val="22"/>
          <w:lang w:val="es-ES"/>
        </w:rPr>
      </w:pPr>
      <w:r w:rsidRPr="00A06E5C">
        <w:rPr>
          <w:rFonts w:ascii="Soberana Sans" w:hAnsi="Soberana Sans"/>
          <w:b/>
          <w:sz w:val="22"/>
          <w:szCs w:val="22"/>
          <w:lang w:val="es-ES"/>
        </w:rPr>
        <w:t xml:space="preserve">Plataforma de Ramo General 23. </w:t>
      </w:r>
      <w:r w:rsidRPr="00A06E5C">
        <w:rPr>
          <w:rFonts w:ascii="Soberana Sans" w:hAnsi="Soberana Sans"/>
          <w:sz w:val="22"/>
          <w:szCs w:val="22"/>
          <w:lang w:val="es-ES"/>
        </w:rPr>
        <w:t>Dando continuidad a la política implementada en 2014, así como a lo dispuesto en el DPEF 2015, esta sección, da seguimiento a los fondos y programas del Ramo 23, destinados a las entidades federativas y municipios, permitiendo a su vez,  conocer los mecanismos de acceso a los recursos, lineamientos y reglas de operación.</w:t>
      </w:r>
    </w:p>
    <w:p w:rsidR="00950AA1" w:rsidRPr="00A06E5C" w:rsidRDefault="00950AA1" w:rsidP="00950AA1">
      <w:pPr>
        <w:ind w:left="426" w:hanging="426"/>
        <w:jc w:val="both"/>
        <w:rPr>
          <w:sz w:val="22"/>
          <w:szCs w:val="22"/>
          <w:lang w:val="es-ES"/>
        </w:rPr>
      </w:pPr>
    </w:p>
    <w:p w:rsidR="00950AA1" w:rsidRPr="00A06E5C" w:rsidRDefault="00950AA1" w:rsidP="00950AA1">
      <w:pPr>
        <w:pStyle w:val="Prrafodelista"/>
        <w:numPr>
          <w:ilvl w:val="0"/>
          <w:numId w:val="2"/>
        </w:numPr>
        <w:ind w:left="426" w:hanging="426"/>
        <w:jc w:val="both"/>
        <w:rPr>
          <w:sz w:val="22"/>
          <w:szCs w:val="22"/>
          <w:lang w:val="es-ES"/>
        </w:rPr>
      </w:pPr>
      <w:r w:rsidRPr="00A06E5C">
        <w:rPr>
          <w:rFonts w:ascii="Soberana Sans" w:hAnsi="Soberana Sans"/>
          <w:b/>
          <w:sz w:val="22"/>
          <w:szCs w:val="22"/>
          <w:lang w:val="es-ES"/>
        </w:rPr>
        <w:t xml:space="preserve">Sección de avance </w:t>
      </w:r>
      <w:proofErr w:type="spellStart"/>
      <w:r w:rsidRPr="00A06E5C">
        <w:rPr>
          <w:rFonts w:ascii="Soberana Sans" w:hAnsi="Soberana Sans"/>
          <w:b/>
          <w:sz w:val="22"/>
          <w:szCs w:val="22"/>
          <w:lang w:val="es-ES"/>
        </w:rPr>
        <w:t>PbR</w:t>
      </w:r>
      <w:proofErr w:type="spellEnd"/>
      <w:r w:rsidRPr="00A06E5C">
        <w:rPr>
          <w:rFonts w:ascii="Soberana Sans" w:hAnsi="Soberana Sans"/>
          <w:b/>
          <w:sz w:val="22"/>
          <w:szCs w:val="22"/>
          <w:lang w:val="es-ES"/>
        </w:rPr>
        <w:t>-SED en gobiernos locales.</w:t>
      </w:r>
      <w:r w:rsidRPr="00A06E5C">
        <w:rPr>
          <w:rFonts w:ascii="Soberana Sans" w:hAnsi="Soberana Sans"/>
          <w:sz w:val="22"/>
          <w:szCs w:val="22"/>
          <w:lang w:val="es-ES"/>
        </w:rPr>
        <w:t xml:space="preserve"> Permite conocer los resultados del “Diagnóstico sobre el avance en la implementación del Presupuesto basado en Resultados y Sistema de Evaluación del Desempeño en las entidades federativas” para 2010, 2012, 2014 y 2015, y para municipios durante 2014 y 2015.</w:t>
      </w:r>
    </w:p>
    <w:p w:rsidR="00950AA1" w:rsidRPr="00A06E5C" w:rsidRDefault="00950AA1" w:rsidP="00950AA1">
      <w:pPr>
        <w:ind w:left="426" w:hanging="426"/>
        <w:jc w:val="both"/>
        <w:rPr>
          <w:sz w:val="22"/>
          <w:szCs w:val="22"/>
          <w:lang w:val="es-ES"/>
        </w:rPr>
      </w:pPr>
    </w:p>
    <w:p w:rsidR="00950AA1" w:rsidRPr="00A06E5C" w:rsidRDefault="00950AA1" w:rsidP="00950AA1">
      <w:pPr>
        <w:pStyle w:val="Prrafodelista"/>
        <w:numPr>
          <w:ilvl w:val="0"/>
          <w:numId w:val="2"/>
        </w:numPr>
        <w:ind w:left="426" w:hanging="426"/>
        <w:jc w:val="both"/>
        <w:rPr>
          <w:sz w:val="22"/>
          <w:szCs w:val="22"/>
          <w:lang w:val="es-ES"/>
        </w:rPr>
      </w:pPr>
      <w:r w:rsidRPr="00A06E5C">
        <w:rPr>
          <w:rFonts w:ascii="Soberana Sans" w:hAnsi="Soberana Sans"/>
          <w:b/>
          <w:sz w:val="22"/>
          <w:szCs w:val="22"/>
          <w:lang w:val="es-ES"/>
        </w:rPr>
        <w:t>Estadísticas de Deuda.</w:t>
      </w:r>
      <w:r w:rsidRPr="00A06E5C">
        <w:rPr>
          <w:rFonts w:ascii="Soberana Sans" w:hAnsi="Soberana Sans"/>
          <w:sz w:val="22"/>
          <w:szCs w:val="22"/>
          <w:lang w:val="es-ES"/>
        </w:rPr>
        <w:t xml:space="preserve"> Sección que permite descargar documentos relacionados con las estadísticas de deuda en las entidades federativas y municipios, generados por la Unidad de Coordinación con Entidades Federativas.</w:t>
      </w:r>
    </w:p>
    <w:p w:rsidR="00950AA1" w:rsidRPr="00A06E5C" w:rsidRDefault="00950AA1" w:rsidP="00950AA1">
      <w:pPr>
        <w:pStyle w:val="Encabezado"/>
        <w:jc w:val="center"/>
        <w:rPr>
          <w:rFonts w:ascii="Soberana Sans" w:hAnsi="Soberana Sans"/>
          <w:b/>
          <w:sz w:val="22"/>
          <w:szCs w:val="22"/>
          <w:lang w:val="es-ES"/>
        </w:rPr>
      </w:pPr>
    </w:p>
    <w:p w:rsidR="00587E36" w:rsidRPr="00950AA1" w:rsidRDefault="00587E36">
      <w:pPr>
        <w:rPr>
          <w:lang w:val="es-ES"/>
        </w:rPr>
      </w:pPr>
    </w:p>
    <w:sectPr w:rsidR="00587E36" w:rsidRPr="00950AA1" w:rsidSect="00807AB6">
      <w:headerReference w:type="even" r:id="rId10"/>
      <w:headerReference w:type="default" r:id="rId11"/>
      <w:footerReference w:type="default" r:id="rId12"/>
      <w:headerReference w:type="first" r:id="rId13"/>
      <w:pgSz w:w="12240" w:h="15840"/>
      <w:pgMar w:top="1417" w:right="1701" w:bottom="1417"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AA1" w:rsidRDefault="00950AA1" w:rsidP="00950AA1">
      <w:r>
        <w:separator/>
      </w:r>
    </w:p>
  </w:endnote>
  <w:endnote w:type="continuationSeparator" w:id="0">
    <w:p w:rsidR="00950AA1" w:rsidRDefault="00950AA1" w:rsidP="0095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Adobe Caslon Pro Bold">
    <w:altName w:val="Times New Roman"/>
    <w:panose1 w:val="00000000000000000000"/>
    <w:charset w:val="00"/>
    <w:family w:val="roman"/>
    <w:notTrueType/>
    <w:pitch w:val="variable"/>
    <w:sig w:usb0="00000001" w:usb1="5000205B" w:usb2="00000000" w:usb3="00000000" w:csb0="0000009B" w:csb1="00000000"/>
  </w:font>
  <w:font w:name="Adobe Caslon Pro">
    <w:altName w:val="Georgia"/>
    <w:panose1 w:val="00000000000000000000"/>
    <w:charset w:val="00"/>
    <w:family w:val="roman"/>
    <w:notTrueType/>
    <w:pitch w:val="variable"/>
    <w:sig w:usb0="800000AF" w:usb1="50002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15B" w:rsidRPr="003318FD" w:rsidRDefault="002C0339" w:rsidP="00EE515B">
    <w:pPr>
      <w:widowControl w:val="0"/>
      <w:autoSpaceDE w:val="0"/>
      <w:autoSpaceDN w:val="0"/>
      <w:adjustRightInd w:val="0"/>
      <w:jc w:val="center"/>
      <w:rPr>
        <w:rFonts w:ascii="Adobe Caslon Pro" w:hAnsi="Adobe Caslon Pro"/>
        <w:color w:val="7F7F7F" w:themeColor="text1" w:themeTint="80"/>
        <w:sz w:val="16"/>
        <w:szCs w:val="16"/>
      </w:rPr>
    </w:pPr>
    <w:r w:rsidRPr="003318FD">
      <w:rPr>
        <w:rFonts w:ascii="Adobe Caslon Pro" w:hAnsi="Adobe Caslon Pro" w:cs="Calibri"/>
        <w:color w:val="7F7F7F" w:themeColor="text1" w:themeTint="80"/>
        <w:sz w:val="16"/>
        <w:szCs w:val="16"/>
        <w:lang w:val="es-ES"/>
      </w:rPr>
      <w:t xml:space="preserve">Av. </w:t>
    </w:r>
    <w:r>
      <w:rPr>
        <w:rFonts w:ascii="Adobe Caslon Pro" w:hAnsi="Adobe Caslon Pro" w:cs="Calibri"/>
        <w:color w:val="7F7F7F" w:themeColor="text1" w:themeTint="80"/>
        <w:sz w:val="16"/>
        <w:szCs w:val="16"/>
        <w:lang w:val="es-ES"/>
      </w:rPr>
      <w:t>Constituyentes 1001, Edificio C, Piso 1</w:t>
    </w:r>
    <w:r w:rsidRPr="003318FD">
      <w:rPr>
        <w:rFonts w:ascii="Adobe Caslon Pro" w:hAnsi="Adobe Caslon Pro" w:cs="Calibri"/>
        <w:color w:val="7F7F7F" w:themeColor="text1" w:themeTint="80"/>
        <w:sz w:val="16"/>
        <w:szCs w:val="16"/>
        <w:lang w:val="es-ES"/>
      </w:rPr>
      <w:t>, Col. Belén de las Flores, Del. Álvaro Obregón México, D.F. 01110</w:t>
    </w:r>
  </w:p>
  <w:p w:rsidR="009B3846" w:rsidRPr="00DF1EBD" w:rsidRDefault="002C0339" w:rsidP="003318FD">
    <w:pPr>
      <w:pStyle w:val="Piedepgina"/>
      <w:jc w:val="center"/>
      <w:rPr>
        <w:rFonts w:ascii="Adobe Caslon Pro" w:hAnsi="Adobe Caslon Pro"/>
        <w:color w:val="7F7F7F" w:themeColor="text1" w:themeTint="80"/>
        <w:sz w:val="16"/>
        <w:szCs w:val="16"/>
      </w:rPr>
    </w:pPr>
    <w:r w:rsidRPr="003318FD">
      <w:rPr>
        <w:rFonts w:ascii="Adobe Caslon Pro" w:hAnsi="Adobe Caslon Pro" w:cs="Calibri"/>
        <w:color w:val="7F7F7F" w:themeColor="text1" w:themeTint="80"/>
        <w:sz w:val="16"/>
        <w:szCs w:val="16"/>
        <w:lang w:val="es-ES"/>
      </w:rPr>
      <w:t xml:space="preserve">Tel.: +52 (55) 3688 </w:t>
    </w:r>
    <w:r>
      <w:rPr>
        <w:rFonts w:ascii="Adobe Caslon Pro" w:hAnsi="Adobe Caslon Pro" w:cs="Calibri"/>
        <w:color w:val="7F7F7F" w:themeColor="text1" w:themeTint="80"/>
        <w:sz w:val="16"/>
        <w:szCs w:val="16"/>
        <w:lang w:val="es-ES"/>
      </w:rPr>
      <w:t>5</w:t>
    </w:r>
    <w:r>
      <w:rPr>
        <w:rFonts w:ascii="Adobe Caslon Pro" w:hAnsi="Adobe Caslon Pro" w:cs="Calibri"/>
        <w:color w:val="7F7F7F" w:themeColor="text1" w:themeTint="80"/>
        <w:sz w:val="16"/>
        <w:szCs w:val="16"/>
        <w:lang w:val="es-ES"/>
      </w:rPr>
      <w:t>221</w:t>
    </w:r>
    <w:r>
      <w:rPr>
        <w:rFonts w:ascii="Adobe Caslon Pro" w:hAnsi="Adobe Caslon Pro" w:cs="Calibri"/>
        <w:color w:val="7F7F7F" w:themeColor="text1" w:themeTint="80"/>
        <w:sz w:val="16"/>
        <w:szCs w:val="16"/>
        <w:lang w:val="es-ES"/>
      </w:rPr>
      <w:t xml:space="preserve"> </w:t>
    </w:r>
    <w:r w:rsidRPr="003318FD">
      <w:rPr>
        <w:rFonts w:ascii="Adobe Caslon Pro" w:hAnsi="Adobe Caslon Pro" w:cs="Calibri"/>
        <w:color w:val="7F7F7F" w:themeColor="text1" w:themeTint="80"/>
        <w:sz w:val="16"/>
        <w:szCs w:val="16"/>
        <w:lang w:val="es-ES"/>
      </w:rPr>
      <w:t xml:space="preserve">www.shcp.gob.mx </w:t>
    </w:r>
    <w:hyperlink w:history="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AA1" w:rsidRDefault="00950AA1" w:rsidP="00950AA1">
      <w:r>
        <w:separator/>
      </w:r>
    </w:p>
  </w:footnote>
  <w:footnote w:type="continuationSeparator" w:id="0">
    <w:p w:rsidR="00950AA1" w:rsidRDefault="00950AA1" w:rsidP="00950AA1">
      <w:r>
        <w:continuationSeparator/>
      </w:r>
    </w:p>
  </w:footnote>
  <w:footnote w:id="1">
    <w:p w:rsidR="00950AA1" w:rsidRPr="004A1AB5" w:rsidRDefault="00950AA1" w:rsidP="00950AA1">
      <w:pPr>
        <w:pStyle w:val="Textonotapie"/>
        <w:jc w:val="both"/>
        <w:rPr>
          <w:rFonts w:ascii="Soberana Sans" w:hAnsi="Soberana Sans"/>
        </w:rPr>
      </w:pPr>
      <w:r w:rsidRPr="004A1AB5">
        <w:rPr>
          <w:rStyle w:val="Refdenotaalpie"/>
          <w:rFonts w:ascii="Soberana Sans" w:hAnsi="Soberana Sans"/>
        </w:rPr>
        <w:footnoteRef/>
      </w:r>
      <w:r w:rsidRPr="004A1AB5">
        <w:rPr>
          <w:rFonts w:ascii="Soberana Sans" w:hAnsi="Soberana Sans"/>
        </w:rPr>
        <w:t xml:space="preserve"> El reporte lo realizan a la SHCP a través del Sistema de Formato Único (SFU), el cual permite dar seguimiento al ejercicio, destino y resultados de los recursos federales transferidos en términos de los artículos 85 de la Ley Federal de Presupuesto y Responsabilidad Hacendaria y 48 de la Ley de Coordinación Fiscal.</w:t>
      </w:r>
    </w:p>
  </w:footnote>
  <w:footnote w:id="2">
    <w:p w:rsidR="00950AA1" w:rsidRDefault="00950AA1" w:rsidP="00950AA1">
      <w:pPr>
        <w:pStyle w:val="Textonotapie"/>
        <w:jc w:val="both"/>
      </w:pPr>
      <w:r w:rsidRPr="004A1AB5">
        <w:rPr>
          <w:rStyle w:val="Refdenotaalpie"/>
          <w:rFonts w:ascii="Soberana Sans" w:hAnsi="Soberana Sans"/>
        </w:rPr>
        <w:footnoteRef/>
      </w:r>
      <w:r w:rsidRPr="004A1AB5">
        <w:rPr>
          <w:rFonts w:ascii="Soberana Sans" w:hAnsi="Soberana Sans"/>
        </w:rPr>
        <w:t xml:space="preserve"> Otra plataforma interactiva que se comprometió en el marco de la AGA, fue la de </w:t>
      </w:r>
      <w:r w:rsidRPr="004A1AB5">
        <w:rPr>
          <w:rFonts w:ascii="Soberana Sans" w:hAnsi="Soberana Sans"/>
          <w:b/>
        </w:rPr>
        <w:t>Obra Pública Abierta</w:t>
      </w:r>
      <w:r w:rsidRPr="004A1AB5">
        <w:rPr>
          <w:rFonts w:ascii="Soberana Sans" w:hAnsi="Soberana Sans"/>
        </w:rPr>
        <w:t>, la cual fue dada a conocer el pasado 5 de septiembre, en el marco de la entrega del Paquete Económico 2015 a la Cámara de Diputados. Actualmente, la información ya se encuentra actualizada con base en los proyectos de inversión aprobados en el PEF 2015, lo que permitirá conocer, de forma trimestral, el avance físico y financiero de los mismos.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6F0" w:rsidRDefault="002C0339">
    <w:pPr>
      <w:pStyle w:val="Encabezado"/>
    </w:pPr>
    <w:r>
      <w:rPr>
        <w:noProof/>
        <w:lang w:val="es-MX" w:eastAsia="es-MX"/>
      </w:rPr>
      <w:drawing>
        <wp:anchor distT="0" distB="0" distL="114300" distR="114300" simplePos="0" relativeHeight="251664384" behindDoc="1" locked="0" layoutInCell="1" allowOverlap="1" wp14:anchorId="0E54CDBB" wp14:editId="666545F7">
          <wp:simplePos x="0" y="0"/>
          <wp:positionH relativeFrom="margin">
            <wp:align>center</wp:align>
          </wp:positionH>
          <wp:positionV relativeFrom="margin">
            <wp:align>center</wp:align>
          </wp:positionV>
          <wp:extent cx="6150610" cy="6199505"/>
          <wp:effectExtent l="0" t="0" r="2540" b="0"/>
          <wp:wrapNone/>
          <wp:docPr id="9" name="Imagen 9" descr="escudo nacional_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scudo nacional_negr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50610" cy="6199505"/>
                  </a:xfrm>
                  <a:prstGeom prst="rect">
                    <a:avLst/>
                  </a:prstGeom>
                  <a:noFill/>
                </pic:spPr>
              </pic:pic>
            </a:graphicData>
          </a:graphic>
        </wp:anchor>
      </w:drawing>
    </w:r>
    <w:r>
      <w:rPr>
        <w:noProof/>
        <w:lang w:val="es-MX" w:eastAsia="es-MX"/>
      </w:rPr>
      <w:drawing>
        <wp:anchor distT="0" distB="0" distL="114300" distR="114300" simplePos="0" relativeHeight="251662336" behindDoc="1" locked="0" layoutInCell="1" allowOverlap="1" wp14:anchorId="5639F610" wp14:editId="08A19BC8">
          <wp:simplePos x="0" y="0"/>
          <wp:positionH relativeFrom="margin">
            <wp:align>center</wp:align>
          </wp:positionH>
          <wp:positionV relativeFrom="margin">
            <wp:align>center</wp:align>
          </wp:positionV>
          <wp:extent cx="5302885" cy="5341620"/>
          <wp:effectExtent l="0" t="0" r="0" b="0"/>
          <wp:wrapNone/>
          <wp:docPr id="4" name="Imagen 4" descr="escudo nacional_negr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cudo nacional_negro_3"/>
                  <pic:cNvPicPr>
                    <a:picLocks noChangeAspect="1" noChangeArrowheads="1"/>
                  </pic:cNvPicPr>
                </pic:nvPicPr>
                <pic:blipFill>
                  <a:blip r:embed="rId2">
                    <a:lum bright="70000" contrast="-70000"/>
                    <a:extLst>
                      <a:ext uri="{28A0092B-C50C-407E-A947-70E740481C1C}">
                        <a14:useLocalDpi xmlns:a14="http://schemas.microsoft.com/office/drawing/2010/main" val="0"/>
                      </a:ext>
                    </a:extLst>
                  </a:blip>
                  <a:srcRect/>
                  <a:stretch>
                    <a:fillRect/>
                  </a:stretch>
                </pic:blipFill>
                <pic:spPr bwMode="auto">
                  <a:xfrm>
                    <a:off x="0" y="0"/>
                    <a:ext cx="5302885" cy="5341620"/>
                  </a:xfrm>
                  <a:prstGeom prst="rect">
                    <a:avLst/>
                  </a:prstGeom>
                  <a:noFill/>
                </pic:spPr>
              </pic:pic>
            </a:graphicData>
          </a:graphic>
        </wp:anchor>
      </w:drawing>
    </w:r>
    <w:r>
      <w:rPr>
        <w:noProof/>
        <w:lang w:val="es-MX" w:eastAsia="es-MX"/>
      </w:rPr>
      <w:drawing>
        <wp:anchor distT="0" distB="0" distL="114300" distR="114300" simplePos="0" relativeHeight="251660288" behindDoc="1" locked="0" layoutInCell="1" allowOverlap="1" wp14:anchorId="3AE20493" wp14:editId="0BD648BB">
          <wp:simplePos x="0" y="0"/>
          <wp:positionH relativeFrom="margin">
            <wp:align>center</wp:align>
          </wp:positionH>
          <wp:positionV relativeFrom="margin">
            <wp:align>center</wp:align>
          </wp:positionV>
          <wp:extent cx="5302885" cy="5341620"/>
          <wp:effectExtent l="0" t="0" r="0" b="0"/>
          <wp:wrapNone/>
          <wp:docPr id="2" name="Imagen 2" descr="escudo nacional_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nacional_negr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02885" cy="534162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AB6" w:rsidRDefault="002C0339">
    <w:pPr>
      <w:pStyle w:val="Encabezado"/>
    </w:pPr>
  </w:p>
  <w:p w:rsidR="00807AB6" w:rsidRDefault="002C0339">
    <w:pPr>
      <w:pStyle w:val="Encabezado"/>
    </w:pPr>
    <w:r>
      <w:rPr>
        <w:noProof/>
        <w:lang w:val="es-MX" w:eastAsia="es-MX"/>
      </w:rPr>
      <w:drawing>
        <wp:anchor distT="0" distB="0" distL="114300" distR="114300" simplePos="0" relativeHeight="251666432" behindDoc="0" locked="0" layoutInCell="1" allowOverlap="1" wp14:anchorId="1D09F333" wp14:editId="21C3BE07">
          <wp:simplePos x="0" y="0"/>
          <wp:positionH relativeFrom="column">
            <wp:posOffset>205740</wp:posOffset>
          </wp:positionH>
          <wp:positionV relativeFrom="paragraph">
            <wp:posOffset>123825</wp:posOffset>
          </wp:positionV>
          <wp:extent cx="1609725" cy="514350"/>
          <wp:effectExtent l="19050" t="0" r="9525" b="0"/>
          <wp:wrapSquare wrapText="bothSides"/>
          <wp:docPr id="6" name="Imagen 1" descr="http://intranet.hacienda.gob.mx/apartados/identidad_2012_2018/logos/shcp_horizontal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hacienda.gob.mx/apartados/identidad_2012_2018/logos/shcp_horizontal_color.jpg"/>
                  <pic:cNvPicPr>
                    <a:picLocks noChangeAspect="1" noChangeArrowheads="1"/>
                  </pic:cNvPicPr>
                </pic:nvPicPr>
                <pic:blipFill>
                  <a:blip r:embed="rId1"/>
                  <a:srcRect/>
                  <a:stretch>
                    <a:fillRect/>
                  </a:stretch>
                </pic:blipFill>
                <pic:spPr bwMode="auto">
                  <a:xfrm>
                    <a:off x="0" y="0"/>
                    <a:ext cx="1609725" cy="514350"/>
                  </a:xfrm>
                  <a:prstGeom prst="rect">
                    <a:avLst/>
                  </a:prstGeom>
                  <a:noFill/>
                  <a:ln w="9525">
                    <a:noFill/>
                    <a:miter lim="800000"/>
                    <a:headEnd/>
                    <a:tailEnd/>
                  </a:ln>
                </pic:spPr>
              </pic:pic>
            </a:graphicData>
          </a:graphic>
        </wp:anchor>
      </w:drawing>
    </w:r>
    <w:r>
      <w:rPr>
        <w:noProof/>
        <w:lang w:val="es-MX" w:eastAsia="es-MX"/>
      </w:rPr>
      <mc:AlternateContent>
        <mc:Choice Requires="wps">
          <w:drawing>
            <wp:anchor distT="0" distB="0" distL="114300" distR="114300" simplePos="0" relativeHeight="251659264" behindDoc="0" locked="0" layoutInCell="1" allowOverlap="1" wp14:anchorId="6D5DC57E" wp14:editId="416E6065">
              <wp:simplePos x="0" y="0"/>
              <wp:positionH relativeFrom="column">
                <wp:posOffset>3352800</wp:posOffset>
              </wp:positionH>
              <wp:positionV relativeFrom="paragraph">
                <wp:posOffset>154940</wp:posOffset>
              </wp:positionV>
              <wp:extent cx="2286000" cy="457200"/>
              <wp:effectExtent l="0" t="0" r="0" b="0"/>
              <wp:wrapNone/>
              <wp:docPr id="1"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4572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E1712" w:rsidRPr="00807AB6" w:rsidRDefault="002C0339" w:rsidP="004E1712">
                          <w:pPr>
                            <w:jc w:val="right"/>
                            <w:rPr>
                              <w:rFonts w:ascii="Adobe Caslon Pro Bold" w:hAnsi="Adobe Caslon Pro Bold" w:cs="Calibri"/>
                              <w:bCs/>
                              <w:color w:val="807F83"/>
                              <w:sz w:val="20"/>
                              <w:szCs w:val="16"/>
                              <w:lang w:val="es-ES"/>
                            </w:rPr>
                          </w:pPr>
                          <w:r w:rsidRPr="00807AB6">
                            <w:rPr>
                              <w:rFonts w:ascii="Adobe Caslon Pro Bold" w:hAnsi="Adobe Caslon Pro Bold" w:cs="Calibri"/>
                              <w:bCs/>
                              <w:color w:val="807F83"/>
                              <w:sz w:val="20"/>
                              <w:szCs w:val="16"/>
                              <w:lang w:val="es-ES"/>
                            </w:rPr>
                            <w:t>Subsecretaría de Egresos</w:t>
                          </w:r>
                        </w:p>
                        <w:p w:rsidR="00FC764B" w:rsidRPr="00807AB6" w:rsidRDefault="002C0339" w:rsidP="00FC764B">
                          <w:pPr>
                            <w:jc w:val="right"/>
                            <w:rPr>
                              <w:rFonts w:ascii="Adobe Caslon Pro Bold" w:hAnsi="Adobe Caslon Pro Bold" w:cs="Calibri"/>
                              <w:bCs/>
                              <w:color w:val="807F83"/>
                              <w:sz w:val="20"/>
                              <w:szCs w:val="16"/>
                              <w:lang w:val="es-ES"/>
                            </w:rPr>
                          </w:pPr>
                          <w:r w:rsidRPr="00807AB6">
                            <w:rPr>
                              <w:rFonts w:ascii="Adobe Caslon Pro Bold" w:hAnsi="Adobe Caslon Pro Bold" w:cs="Calibri"/>
                              <w:bCs/>
                              <w:color w:val="807F83"/>
                              <w:sz w:val="20"/>
                              <w:szCs w:val="16"/>
                              <w:lang w:val="es-ES"/>
                            </w:rPr>
                            <w:t xml:space="preserve">Unidad de Evaluación </w:t>
                          </w:r>
                          <w:r w:rsidRPr="00807AB6">
                            <w:rPr>
                              <w:rFonts w:ascii="Adobe Caslon Pro Bold" w:hAnsi="Adobe Caslon Pro Bold" w:cs="Calibri"/>
                              <w:bCs/>
                              <w:color w:val="807F83"/>
                              <w:sz w:val="20"/>
                              <w:szCs w:val="16"/>
                              <w:lang w:val="es-ES"/>
                            </w:rPr>
                            <w:t>del Desempeño</w:t>
                          </w:r>
                        </w:p>
                        <w:p w:rsidR="00807AB6" w:rsidRPr="003318FD" w:rsidRDefault="002C0339" w:rsidP="00FC764B">
                          <w:pPr>
                            <w:jc w:val="right"/>
                            <w:rPr>
                              <w:rFonts w:ascii="Adobe Caslon Pro Bold" w:hAnsi="Adobe Caslon Pro Bold" w:cs="Calibri"/>
                              <w:bCs/>
                              <w:color w:val="807F83"/>
                              <w:sz w:val="18"/>
                              <w:szCs w:val="16"/>
                              <w:lang w:val="es-ES"/>
                            </w:rPr>
                          </w:pPr>
                        </w:p>
                        <w:p w:rsidR="00FC764B" w:rsidRPr="003318FD" w:rsidRDefault="002C0339" w:rsidP="004E1712">
                          <w:pPr>
                            <w:jc w:val="right"/>
                            <w:rPr>
                              <w:rFonts w:ascii="Adobe Caslon Pro Bold" w:hAnsi="Adobe Caslon Pro Bold" w:cs="Calibri"/>
                              <w:bCs/>
                              <w:color w:val="807F83"/>
                              <w:sz w:val="18"/>
                              <w:szCs w:val="16"/>
                              <w:lang w:val="es-ES"/>
                            </w:rPr>
                          </w:pPr>
                        </w:p>
                        <w:p w:rsidR="009B3846" w:rsidRPr="00F455F8" w:rsidRDefault="002C0339">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264pt;margin-top:12.2pt;width:18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" filled="f" stroked="f">
              <v:path arrowok="t"/>
              <v:textbox>
                <w:txbxContent>
                  <w:p w:rsidR="004E1712" w:rsidRPr="00807AB6" w:rsidRDefault="002C0339" w:rsidP="004E1712">
                    <w:pPr>
                      <w:jc w:val="right"/>
                      <w:rPr>
                        <w:rFonts w:ascii="Adobe Caslon Pro Bold" w:hAnsi="Adobe Caslon Pro Bold" w:cs="Calibri"/>
                        <w:bCs/>
                        <w:color w:val="807F83"/>
                        <w:sz w:val="20"/>
                        <w:szCs w:val="16"/>
                        <w:lang w:val="es-ES"/>
                      </w:rPr>
                    </w:pPr>
                    <w:r w:rsidRPr="00807AB6">
                      <w:rPr>
                        <w:rFonts w:ascii="Adobe Caslon Pro Bold" w:hAnsi="Adobe Caslon Pro Bold" w:cs="Calibri"/>
                        <w:bCs/>
                        <w:color w:val="807F83"/>
                        <w:sz w:val="20"/>
                        <w:szCs w:val="16"/>
                        <w:lang w:val="es-ES"/>
                      </w:rPr>
                      <w:t>Subsecretaría de Egresos</w:t>
                    </w:r>
                  </w:p>
                  <w:p w:rsidR="00FC764B" w:rsidRPr="00807AB6" w:rsidRDefault="002C0339" w:rsidP="00FC764B">
                    <w:pPr>
                      <w:jc w:val="right"/>
                      <w:rPr>
                        <w:rFonts w:ascii="Adobe Caslon Pro Bold" w:hAnsi="Adobe Caslon Pro Bold" w:cs="Calibri"/>
                        <w:bCs/>
                        <w:color w:val="807F83"/>
                        <w:sz w:val="20"/>
                        <w:szCs w:val="16"/>
                        <w:lang w:val="es-ES"/>
                      </w:rPr>
                    </w:pPr>
                    <w:r w:rsidRPr="00807AB6">
                      <w:rPr>
                        <w:rFonts w:ascii="Adobe Caslon Pro Bold" w:hAnsi="Adobe Caslon Pro Bold" w:cs="Calibri"/>
                        <w:bCs/>
                        <w:color w:val="807F83"/>
                        <w:sz w:val="20"/>
                        <w:szCs w:val="16"/>
                        <w:lang w:val="es-ES"/>
                      </w:rPr>
                      <w:t xml:space="preserve">Unidad de Evaluación </w:t>
                    </w:r>
                    <w:r w:rsidRPr="00807AB6">
                      <w:rPr>
                        <w:rFonts w:ascii="Adobe Caslon Pro Bold" w:hAnsi="Adobe Caslon Pro Bold" w:cs="Calibri"/>
                        <w:bCs/>
                        <w:color w:val="807F83"/>
                        <w:sz w:val="20"/>
                        <w:szCs w:val="16"/>
                        <w:lang w:val="es-ES"/>
                      </w:rPr>
                      <w:t>del Desempeño</w:t>
                    </w:r>
                  </w:p>
                  <w:p w:rsidR="00807AB6" w:rsidRPr="003318FD" w:rsidRDefault="002C0339" w:rsidP="00FC764B">
                    <w:pPr>
                      <w:jc w:val="right"/>
                      <w:rPr>
                        <w:rFonts w:ascii="Adobe Caslon Pro Bold" w:hAnsi="Adobe Caslon Pro Bold" w:cs="Calibri"/>
                        <w:bCs/>
                        <w:color w:val="807F83"/>
                        <w:sz w:val="18"/>
                        <w:szCs w:val="16"/>
                        <w:lang w:val="es-ES"/>
                      </w:rPr>
                    </w:pPr>
                  </w:p>
                  <w:p w:rsidR="00FC764B" w:rsidRPr="003318FD" w:rsidRDefault="002C0339" w:rsidP="004E1712">
                    <w:pPr>
                      <w:jc w:val="right"/>
                      <w:rPr>
                        <w:rFonts w:ascii="Adobe Caslon Pro Bold" w:hAnsi="Adobe Caslon Pro Bold" w:cs="Calibri"/>
                        <w:bCs/>
                        <w:color w:val="807F83"/>
                        <w:sz w:val="18"/>
                        <w:szCs w:val="16"/>
                        <w:lang w:val="es-ES"/>
                      </w:rPr>
                    </w:pPr>
                  </w:p>
                  <w:p w:rsidR="009B3846" w:rsidRPr="00F455F8" w:rsidRDefault="002C0339">
                    <w:pPr>
                      <w:rPr>
                        <w:rFonts w:ascii="Adobe Caslon Pro Bold" w:hAnsi="Adobe Caslon Pro Bold"/>
                        <w:color w:val="807F83"/>
                        <w:sz w:val="16"/>
                        <w:szCs w:val="16"/>
                      </w:rPr>
                    </w:pPr>
                  </w:p>
                </w:txbxContent>
              </v:textbox>
            </v:shape>
          </w:pict>
        </mc:Fallback>
      </mc:AlternateContent>
    </w:r>
  </w:p>
  <w:p w:rsidR="00807AB6" w:rsidRDefault="002C0339">
    <w:pPr>
      <w:pStyle w:val="Encabezado"/>
    </w:pPr>
  </w:p>
  <w:p w:rsidR="00807AB6" w:rsidRDefault="002C0339">
    <w:pPr>
      <w:pStyle w:val="Encabezado"/>
    </w:pPr>
  </w:p>
  <w:p w:rsidR="005072D2" w:rsidRDefault="002C033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6F0" w:rsidRDefault="002C0339">
    <w:pPr>
      <w:pStyle w:val="Encabezado"/>
    </w:pPr>
    <w:r>
      <w:rPr>
        <w:noProof/>
        <w:lang w:val="es-MX" w:eastAsia="es-MX"/>
      </w:rPr>
      <w:drawing>
        <wp:anchor distT="0" distB="0" distL="114300" distR="114300" simplePos="0" relativeHeight="251665408" behindDoc="1" locked="0" layoutInCell="1" allowOverlap="1" wp14:anchorId="66FDB8A4" wp14:editId="2EA15454">
          <wp:simplePos x="0" y="0"/>
          <wp:positionH relativeFrom="margin">
            <wp:align>center</wp:align>
          </wp:positionH>
          <wp:positionV relativeFrom="margin">
            <wp:align>center</wp:align>
          </wp:positionV>
          <wp:extent cx="6150610" cy="6199505"/>
          <wp:effectExtent l="0" t="0" r="2540" b="0"/>
          <wp:wrapNone/>
          <wp:docPr id="10" name="Imagen 10" descr="escudo nacional_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scudo nacional_negr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50610" cy="6199505"/>
                  </a:xfrm>
                  <a:prstGeom prst="rect">
                    <a:avLst/>
                  </a:prstGeom>
                  <a:noFill/>
                </pic:spPr>
              </pic:pic>
            </a:graphicData>
          </a:graphic>
        </wp:anchor>
      </w:drawing>
    </w:r>
    <w:r>
      <w:rPr>
        <w:noProof/>
        <w:lang w:val="es-MX" w:eastAsia="es-MX"/>
      </w:rPr>
      <w:drawing>
        <wp:anchor distT="0" distB="0" distL="114300" distR="114300" simplePos="0" relativeHeight="251663360" behindDoc="1" locked="0" layoutInCell="1" allowOverlap="1" wp14:anchorId="7E2CF1CE" wp14:editId="1D455D21">
          <wp:simplePos x="0" y="0"/>
          <wp:positionH relativeFrom="margin">
            <wp:align>center</wp:align>
          </wp:positionH>
          <wp:positionV relativeFrom="margin">
            <wp:align>center</wp:align>
          </wp:positionV>
          <wp:extent cx="5302885" cy="5341620"/>
          <wp:effectExtent l="0" t="0" r="0" b="0"/>
          <wp:wrapNone/>
          <wp:docPr id="5" name="Imagen 5" descr="escudo nacional_negr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cudo nacional_negro_3"/>
                  <pic:cNvPicPr>
                    <a:picLocks noChangeAspect="1" noChangeArrowheads="1"/>
                  </pic:cNvPicPr>
                </pic:nvPicPr>
                <pic:blipFill>
                  <a:blip r:embed="rId2">
                    <a:lum bright="70000" contrast="-70000"/>
                    <a:extLst>
                      <a:ext uri="{28A0092B-C50C-407E-A947-70E740481C1C}">
                        <a14:useLocalDpi xmlns:a14="http://schemas.microsoft.com/office/drawing/2010/main" val="0"/>
                      </a:ext>
                    </a:extLst>
                  </a:blip>
                  <a:srcRect/>
                  <a:stretch>
                    <a:fillRect/>
                  </a:stretch>
                </pic:blipFill>
                <pic:spPr bwMode="auto">
                  <a:xfrm>
                    <a:off x="0" y="0"/>
                    <a:ext cx="5302885" cy="5341620"/>
                  </a:xfrm>
                  <a:prstGeom prst="rect">
                    <a:avLst/>
                  </a:prstGeom>
                  <a:noFill/>
                </pic:spPr>
              </pic:pic>
            </a:graphicData>
          </a:graphic>
        </wp:anchor>
      </w:drawing>
    </w:r>
    <w:r>
      <w:rPr>
        <w:noProof/>
        <w:lang w:val="es-MX" w:eastAsia="es-MX"/>
      </w:rPr>
      <w:drawing>
        <wp:anchor distT="0" distB="0" distL="114300" distR="114300" simplePos="0" relativeHeight="251661312" behindDoc="1" locked="0" layoutInCell="1" allowOverlap="1" wp14:anchorId="0912870B" wp14:editId="26D3727C">
          <wp:simplePos x="0" y="0"/>
          <wp:positionH relativeFrom="margin">
            <wp:align>center</wp:align>
          </wp:positionH>
          <wp:positionV relativeFrom="margin">
            <wp:align>center</wp:align>
          </wp:positionV>
          <wp:extent cx="5302885" cy="5341620"/>
          <wp:effectExtent l="0" t="0" r="0" b="0"/>
          <wp:wrapNone/>
          <wp:docPr id="3" name="Imagen 3" descr="escudo nacional_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_negr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02885" cy="534162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D6A54"/>
    <w:multiLevelType w:val="hybridMultilevel"/>
    <w:tmpl w:val="D120565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A1B77A4"/>
    <w:multiLevelType w:val="hybridMultilevel"/>
    <w:tmpl w:val="30163D88"/>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nsid w:val="465B4663"/>
    <w:multiLevelType w:val="hybridMultilevel"/>
    <w:tmpl w:val="0C00BF3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6D77737"/>
    <w:multiLevelType w:val="hybridMultilevel"/>
    <w:tmpl w:val="B80E9FF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AA1"/>
    <w:rsid w:val="002C0339"/>
    <w:rsid w:val="00587E36"/>
    <w:rsid w:val="00950A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AA1"/>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0AA1"/>
    <w:pPr>
      <w:tabs>
        <w:tab w:val="center" w:pos="4252"/>
        <w:tab w:val="right" w:pos="8504"/>
      </w:tabs>
    </w:pPr>
  </w:style>
  <w:style w:type="character" w:customStyle="1" w:styleId="EncabezadoCar">
    <w:name w:val="Encabezado Car"/>
    <w:basedOn w:val="Fuentedeprrafopredeter"/>
    <w:link w:val="Encabezado"/>
    <w:uiPriority w:val="99"/>
    <w:rsid w:val="00950AA1"/>
    <w:rPr>
      <w:rFonts w:eastAsiaTheme="minorEastAsia"/>
      <w:sz w:val="24"/>
      <w:szCs w:val="24"/>
      <w:lang w:val="es-ES_tradnl" w:eastAsia="es-ES"/>
    </w:rPr>
  </w:style>
  <w:style w:type="paragraph" w:styleId="Piedepgina">
    <w:name w:val="footer"/>
    <w:basedOn w:val="Normal"/>
    <w:link w:val="PiedepginaCar"/>
    <w:uiPriority w:val="99"/>
    <w:unhideWhenUsed/>
    <w:rsid w:val="00950AA1"/>
    <w:pPr>
      <w:tabs>
        <w:tab w:val="center" w:pos="4252"/>
        <w:tab w:val="right" w:pos="8504"/>
      </w:tabs>
    </w:pPr>
  </w:style>
  <w:style w:type="character" w:customStyle="1" w:styleId="PiedepginaCar">
    <w:name w:val="Pie de página Car"/>
    <w:basedOn w:val="Fuentedeprrafopredeter"/>
    <w:link w:val="Piedepgina"/>
    <w:uiPriority w:val="99"/>
    <w:rsid w:val="00950AA1"/>
    <w:rPr>
      <w:rFonts w:eastAsiaTheme="minorEastAsia"/>
      <w:sz w:val="24"/>
      <w:szCs w:val="24"/>
      <w:lang w:val="es-ES_tradnl" w:eastAsia="es-ES"/>
    </w:rPr>
  </w:style>
  <w:style w:type="paragraph" w:styleId="Prrafodelista">
    <w:name w:val="List Paragraph"/>
    <w:basedOn w:val="Normal"/>
    <w:link w:val="PrrafodelistaCar"/>
    <w:uiPriority w:val="34"/>
    <w:qFormat/>
    <w:rsid w:val="00950AA1"/>
    <w:pPr>
      <w:ind w:left="720"/>
      <w:contextualSpacing/>
    </w:pPr>
  </w:style>
  <w:style w:type="paragraph" w:styleId="Textonotapie">
    <w:name w:val="footnote text"/>
    <w:basedOn w:val="Normal"/>
    <w:link w:val="TextonotapieCar"/>
    <w:uiPriority w:val="99"/>
    <w:unhideWhenUsed/>
    <w:rsid w:val="00950AA1"/>
    <w:rPr>
      <w:rFonts w:ascii="Calibri" w:eastAsia="Calibri" w:hAnsi="Calibri" w:cs="Times New Roman"/>
      <w:sz w:val="20"/>
      <w:szCs w:val="20"/>
      <w:lang w:val="es-MX" w:eastAsia="en-US"/>
    </w:rPr>
  </w:style>
  <w:style w:type="character" w:customStyle="1" w:styleId="TextonotapieCar">
    <w:name w:val="Texto nota pie Car"/>
    <w:basedOn w:val="Fuentedeprrafopredeter"/>
    <w:link w:val="Textonotapie"/>
    <w:uiPriority w:val="99"/>
    <w:rsid w:val="00950AA1"/>
    <w:rPr>
      <w:rFonts w:ascii="Calibri" w:eastAsia="Calibri" w:hAnsi="Calibri" w:cs="Times New Roman"/>
      <w:sz w:val="20"/>
      <w:szCs w:val="20"/>
    </w:rPr>
  </w:style>
  <w:style w:type="character" w:styleId="Refdenotaalpie">
    <w:name w:val="footnote reference"/>
    <w:basedOn w:val="Fuentedeprrafopredeter"/>
    <w:uiPriority w:val="99"/>
    <w:unhideWhenUsed/>
    <w:rsid w:val="00950AA1"/>
    <w:rPr>
      <w:vertAlign w:val="superscript"/>
    </w:rPr>
  </w:style>
  <w:style w:type="character" w:customStyle="1" w:styleId="PrrafodelistaCar">
    <w:name w:val="Párrafo de lista Car"/>
    <w:link w:val="Prrafodelista"/>
    <w:uiPriority w:val="34"/>
    <w:locked/>
    <w:rsid w:val="00950AA1"/>
    <w:rPr>
      <w:rFonts w:eastAsiaTheme="minorEastAsia"/>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AA1"/>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0AA1"/>
    <w:pPr>
      <w:tabs>
        <w:tab w:val="center" w:pos="4252"/>
        <w:tab w:val="right" w:pos="8504"/>
      </w:tabs>
    </w:pPr>
  </w:style>
  <w:style w:type="character" w:customStyle="1" w:styleId="EncabezadoCar">
    <w:name w:val="Encabezado Car"/>
    <w:basedOn w:val="Fuentedeprrafopredeter"/>
    <w:link w:val="Encabezado"/>
    <w:uiPriority w:val="99"/>
    <w:rsid w:val="00950AA1"/>
    <w:rPr>
      <w:rFonts w:eastAsiaTheme="minorEastAsia"/>
      <w:sz w:val="24"/>
      <w:szCs w:val="24"/>
      <w:lang w:val="es-ES_tradnl" w:eastAsia="es-ES"/>
    </w:rPr>
  </w:style>
  <w:style w:type="paragraph" w:styleId="Piedepgina">
    <w:name w:val="footer"/>
    <w:basedOn w:val="Normal"/>
    <w:link w:val="PiedepginaCar"/>
    <w:uiPriority w:val="99"/>
    <w:unhideWhenUsed/>
    <w:rsid w:val="00950AA1"/>
    <w:pPr>
      <w:tabs>
        <w:tab w:val="center" w:pos="4252"/>
        <w:tab w:val="right" w:pos="8504"/>
      </w:tabs>
    </w:pPr>
  </w:style>
  <w:style w:type="character" w:customStyle="1" w:styleId="PiedepginaCar">
    <w:name w:val="Pie de página Car"/>
    <w:basedOn w:val="Fuentedeprrafopredeter"/>
    <w:link w:val="Piedepgina"/>
    <w:uiPriority w:val="99"/>
    <w:rsid w:val="00950AA1"/>
    <w:rPr>
      <w:rFonts w:eastAsiaTheme="minorEastAsia"/>
      <w:sz w:val="24"/>
      <w:szCs w:val="24"/>
      <w:lang w:val="es-ES_tradnl" w:eastAsia="es-ES"/>
    </w:rPr>
  </w:style>
  <w:style w:type="paragraph" w:styleId="Prrafodelista">
    <w:name w:val="List Paragraph"/>
    <w:basedOn w:val="Normal"/>
    <w:link w:val="PrrafodelistaCar"/>
    <w:uiPriority w:val="34"/>
    <w:qFormat/>
    <w:rsid w:val="00950AA1"/>
    <w:pPr>
      <w:ind w:left="720"/>
      <w:contextualSpacing/>
    </w:pPr>
  </w:style>
  <w:style w:type="paragraph" w:styleId="Textonotapie">
    <w:name w:val="footnote text"/>
    <w:basedOn w:val="Normal"/>
    <w:link w:val="TextonotapieCar"/>
    <w:uiPriority w:val="99"/>
    <w:unhideWhenUsed/>
    <w:rsid w:val="00950AA1"/>
    <w:rPr>
      <w:rFonts w:ascii="Calibri" w:eastAsia="Calibri" w:hAnsi="Calibri" w:cs="Times New Roman"/>
      <w:sz w:val="20"/>
      <w:szCs w:val="20"/>
      <w:lang w:val="es-MX" w:eastAsia="en-US"/>
    </w:rPr>
  </w:style>
  <w:style w:type="character" w:customStyle="1" w:styleId="TextonotapieCar">
    <w:name w:val="Texto nota pie Car"/>
    <w:basedOn w:val="Fuentedeprrafopredeter"/>
    <w:link w:val="Textonotapie"/>
    <w:uiPriority w:val="99"/>
    <w:rsid w:val="00950AA1"/>
    <w:rPr>
      <w:rFonts w:ascii="Calibri" w:eastAsia="Calibri" w:hAnsi="Calibri" w:cs="Times New Roman"/>
      <w:sz w:val="20"/>
      <w:szCs w:val="20"/>
    </w:rPr>
  </w:style>
  <w:style w:type="character" w:styleId="Refdenotaalpie">
    <w:name w:val="footnote reference"/>
    <w:basedOn w:val="Fuentedeprrafopredeter"/>
    <w:uiPriority w:val="99"/>
    <w:unhideWhenUsed/>
    <w:rsid w:val="00950AA1"/>
    <w:rPr>
      <w:vertAlign w:val="superscript"/>
    </w:rPr>
  </w:style>
  <w:style w:type="character" w:customStyle="1" w:styleId="PrrafodelistaCar">
    <w:name w:val="Párrafo de lista Car"/>
    <w:link w:val="Prrafodelista"/>
    <w:uiPriority w:val="34"/>
    <w:locked/>
    <w:rsid w:val="00950AA1"/>
    <w:rPr>
      <w:rFonts w:eastAsiaTheme="minorEastAsia"/>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ransparenciapresupuestaria.gob.mx/es/PTP/EntidadesFederativa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5BD23-0491-400E-87C4-509766464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496</Words>
  <Characters>2728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Secretaria de Hacienda y Credito Publico</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Aura Erendira Martinez Oriol</dc:creator>
  <cp:lastModifiedBy>Aura Erendira Martinez Oriol</cp:lastModifiedBy>
  <cp:revision>1</cp:revision>
  <dcterms:created xsi:type="dcterms:W3CDTF">2015-06-19T02:07:00Z</dcterms:created>
  <dcterms:modified xsi:type="dcterms:W3CDTF">2015-06-19T02:19:00Z</dcterms:modified>
</cp:coreProperties>
</file>